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12"/>
        <w:tblW w:w="9917" w:type="dxa"/>
        <w:tblInd w:w="-20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9"/>
        <w:gridCol w:w="3359"/>
        <w:gridCol w:w="3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9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59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90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2"/>
          <w:szCs w:val="32"/>
          <w:vertAlign w:val="baseline"/>
        </w:rPr>
        <w:t>(ID 260337)</w:t>
      </w:r>
    </w:p>
    <w:p>
      <w:pPr>
        <w:spacing w:after="0" w:line="408" w:lineRule="auto"/>
        <w:ind w:left="120"/>
        <w:jc w:val="both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>История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9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Анна Анатолевна</w:t>
      </w:r>
    </w:p>
    <w:p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</w:t>
      </w:r>
    </w:p>
    <w:p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458b4ee-a00e-40a0-8883-17f4d0e32868"/>
    </w:p>
    <w:p>
      <w:pPr>
        <w:spacing w:after="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Аннотация к рабочей программе по учебному предмету «История» для обучающихся </w:t>
      </w:r>
      <w:r>
        <w:rPr>
          <w:rFonts w:hint="default" w:ascii="Times New Roman" w:hAnsi="Times New Roman"/>
          <w:b/>
          <w:color w:val="000000"/>
          <w:sz w:val="28"/>
          <w:szCs w:val="28"/>
          <w:lang w:val="ru-RU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класса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bookmarkStart w:id="4" w:name="_GoBack"/>
      <w:bookmarkEnd w:id="4"/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Рабочая программа предназначена для изучения истории в основной школе (5-9 классы),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составлена в соответствии с положениями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: 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государственного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образовательного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стандарта основного общего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образования;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Концепции нового единого учебно-методического комплекса по отечественной истории;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Историко-культурного стандарта;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 перечня учебников, разрешенных к использованию в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2023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-202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>4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 xml:space="preserve"> уч. году.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Примерной программы по истории для 5-10 классов, авторской программы по Истории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России к предметной линии учебников Н. М. Арсентьева, А. А. Данилова и др. под редакцией А.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В. Торкунова в основной школе (6—9 классы), авторских программ А.А. Вигасина - А.О. Сороко-Цюпы «Всеобщая история», М. «Просвещение».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ОБЩАЯ ХАРАКТЕРИСТИКА УЧЕБНОГО ПРЕДМЕТА «ИСТОРИЯ»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ЦЕЛИ ИЗУЧЕНИЯ УЧЕБНОГО ПРЕДМЕТА «ИСТОРИЯ»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обучающихся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Задачами изучения истории являются: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МЕСТО УЧЕБНОГО ПРЕДМЕТА «ИСТОРИЯ» В УЧЕБНОМ ПЛАНЕ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134" w:right="850" w:bottom="1134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62"/>
      </w:pPr>
      <w:r>
        <w:separator/>
      </w:r>
    </w:p>
  </w:endnote>
  <w:endnote w:type="continuationSeparator" w:id="1">
    <w:p>
      <w:pPr>
        <w:spacing w:line="240" w:lineRule="auto"/>
        <w:ind w:firstLine="26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62"/>
      </w:pPr>
      <w:r>
        <w:separator/>
      </w:r>
    </w:p>
  </w:footnote>
  <w:footnote w:type="continuationSeparator" w:id="1">
    <w:p>
      <w:pPr>
        <w:spacing w:line="360" w:lineRule="auto"/>
        <w:ind w:firstLine="26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03D4AB"/>
    <w:multiLevelType w:val="singleLevel"/>
    <w:tmpl w:val="D403D4A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1">
    <w:nsid w:val="01398D67"/>
    <w:multiLevelType w:val="multilevel"/>
    <w:tmpl w:val="01398D6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81C9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3F406AF"/>
    <w:rsid w:val="3D2E204C"/>
    <w:rsid w:val="43681C9C"/>
    <w:rsid w:val="623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2023-09-02T15:04:00Z</dcterms:created>
  <dc:creator>Анна Смелова</dc:creator>
  <cp:lastModifiedBy>Анна Смелова</cp:lastModifiedBy>
  <dcterms:modified xsi:type="dcterms:W3CDTF">2023-09-03T10:49:37Z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A9DD579C7B5B427F8ACA630A1C0D82D1_11</vt:lpwstr>
  </property>
</Properties>
</file>